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FA5" w:rsidRDefault="00853351" w:rsidP="00762A2B">
      <w:pPr>
        <w:jc w:val="center"/>
        <w:rPr>
          <w:rFonts w:ascii="黑体" w:eastAsia="黑体" w:hAnsi="黑体"/>
          <w:sz w:val="32"/>
          <w:szCs w:val="32"/>
        </w:rPr>
      </w:pPr>
      <w:r>
        <w:rPr>
          <w:rStyle w:val="a5"/>
          <w:rFonts w:ascii="黑体" w:eastAsia="黑体" w:hAnsi="微软雅黑" w:hint="eastAsia"/>
          <w:color w:val="000000"/>
          <w:sz w:val="32"/>
          <w:szCs w:val="32"/>
        </w:rPr>
        <w:t>团委综合能力提升计划——“</w:t>
      </w:r>
      <w:r w:rsidRPr="00853351">
        <w:rPr>
          <w:rStyle w:val="a5"/>
          <w:rFonts w:ascii="黑体" w:eastAsia="黑体" w:hAnsi="微软雅黑" w:hint="eastAsia"/>
          <w:color w:val="000000"/>
          <w:sz w:val="32"/>
          <w:szCs w:val="32"/>
        </w:rPr>
        <w:t>互联网金融</w:t>
      </w:r>
      <w:r w:rsidRPr="0002786D">
        <w:rPr>
          <w:rStyle w:val="a5"/>
          <w:rFonts w:ascii="黑体" w:eastAsia="黑体" w:hAnsi="微软雅黑" w:hint="eastAsia"/>
          <w:color w:val="000000"/>
          <w:sz w:val="32"/>
          <w:szCs w:val="32"/>
        </w:rPr>
        <w:t>”</w:t>
      </w:r>
      <w:r w:rsidR="00566A93">
        <w:rPr>
          <w:rStyle w:val="a5"/>
          <w:rFonts w:ascii="黑体" w:eastAsia="黑体" w:hAnsi="微软雅黑" w:hint="eastAsia"/>
          <w:color w:val="000000"/>
          <w:sz w:val="32"/>
          <w:szCs w:val="32"/>
        </w:rPr>
        <w:t>雏鹰班</w:t>
      </w:r>
      <w:r w:rsidRPr="0002786D">
        <w:rPr>
          <w:rStyle w:val="a5"/>
          <w:rFonts w:ascii="黑体" w:eastAsia="黑体" w:hAnsi="微软雅黑" w:hint="eastAsia"/>
          <w:color w:val="000000"/>
          <w:sz w:val="32"/>
          <w:szCs w:val="32"/>
        </w:rPr>
        <w:t>课程安排</w:t>
      </w:r>
    </w:p>
    <w:p w:rsidR="00870FA5" w:rsidRDefault="00CC0D72" w:rsidP="00853351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hint="eastAsia"/>
          <w:color w:val="333333"/>
          <w:szCs w:val="21"/>
        </w:rPr>
        <w:t xml:space="preserve">    </w:t>
      </w:r>
    </w:p>
    <w:p w:rsidR="002B3799" w:rsidRPr="006A6ECB" w:rsidRDefault="009E1CB0" w:rsidP="006A6ECB">
      <w:pPr>
        <w:spacing w:line="360" w:lineRule="auto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一</w:t>
      </w:r>
      <w:r w:rsidR="006A6ECB">
        <w:rPr>
          <w:rFonts w:ascii="黑体" w:eastAsia="黑体" w:hAnsi="黑体" w:hint="eastAsia"/>
          <w:b/>
          <w:sz w:val="24"/>
          <w:szCs w:val="24"/>
        </w:rPr>
        <w:t>、</w:t>
      </w:r>
      <w:r w:rsidR="002B3799" w:rsidRPr="006A6ECB">
        <w:rPr>
          <w:rFonts w:ascii="黑体" w:eastAsia="黑体" w:hAnsi="黑体" w:hint="eastAsia"/>
          <w:b/>
          <w:sz w:val="24"/>
          <w:szCs w:val="24"/>
        </w:rPr>
        <w:t>活动主旨</w:t>
      </w:r>
      <w:r w:rsidR="009A7A9C" w:rsidRPr="006A6ECB">
        <w:rPr>
          <w:rFonts w:ascii="黑体" w:eastAsia="黑体" w:hAnsi="黑体" w:hint="eastAsia"/>
          <w:b/>
          <w:sz w:val="24"/>
          <w:szCs w:val="24"/>
        </w:rPr>
        <w:t>：</w:t>
      </w:r>
      <w:bookmarkStart w:id="0" w:name="_GoBack"/>
      <w:bookmarkEnd w:id="0"/>
    </w:p>
    <w:p w:rsidR="00853351" w:rsidRPr="00853351" w:rsidRDefault="002B3799" w:rsidP="00752ABE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 w:cs="Tahoma" w:hint="eastAsia"/>
          <w:color w:val="000000"/>
          <w:sz w:val="24"/>
          <w:szCs w:val="24"/>
        </w:rPr>
      </w:pPr>
      <w:r w:rsidRPr="00853351">
        <w:rPr>
          <w:rFonts w:ascii="黑体" w:eastAsia="黑体" w:hAnsi="黑体" w:cs="Tahoma" w:hint="eastAsia"/>
          <w:color w:val="000000"/>
          <w:sz w:val="24"/>
          <w:szCs w:val="24"/>
        </w:rPr>
        <w:t>让更多有思想、有抱负的</w:t>
      </w:r>
      <w:r w:rsidR="00853351" w:rsidRPr="00853351">
        <w:rPr>
          <w:rFonts w:ascii="黑体" w:eastAsia="黑体" w:hAnsi="黑体" w:cs="Tahoma" w:hint="eastAsia"/>
          <w:color w:val="000000"/>
          <w:sz w:val="24"/>
          <w:szCs w:val="24"/>
        </w:rPr>
        <w:t>学生</w:t>
      </w:r>
      <w:r w:rsidR="00853351" w:rsidRPr="00853351">
        <w:rPr>
          <w:rFonts w:ascii="黑体" w:eastAsia="黑体" w:hAnsi="黑体" w:cs="Tahoma" w:hint="eastAsia"/>
          <w:color w:val="000000"/>
          <w:sz w:val="24"/>
          <w:szCs w:val="24"/>
        </w:rPr>
        <w:t>全面系统的了解互联网金融发展现状，增强进入该行业信心，提高职业素养及业务能力；</w:t>
      </w:r>
    </w:p>
    <w:p w:rsidR="002B3799" w:rsidRPr="00853351" w:rsidRDefault="00853351" w:rsidP="007D0246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 w:cs="Tahoma"/>
          <w:color w:val="000000"/>
          <w:sz w:val="24"/>
          <w:szCs w:val="24"/>
        </w:rPr>
      </w:pPr>
      <w:r w:rsidRPr="00853351">
        <w:rPr>
          <w:rFonts w:ascii="黑体" w:eastAsia="黑体" w:hAnsi="黑体" w:cs="Tahoma" w:hint="eastAsia"/>
          <w:color w:val="000000"/>
          <w:sz w:val="24"/>
          <w:szCs w:val="24"/>
        </w:rPr>
        <w:t>与互联网金融行业专家，企业总裁零距离接触，深度交流，可广泛参与主流社交平台；</w:t>
      </w:r>
    </w:p>
    <w:p w:rsidR="00765483" w:rsidRPr="00765483" w:rsidRDefault="009E1CB0" w:rsidP="00765483">
      <w:pPr>
        <w:spacing w:line="360" w:lineRule="auto"/>
        <w:rPr>
          <w:rFonts w:ascii="黑体" w:eastAsia="黑体" w:hAnsi="黑体" w:cs="Tahoma"/>
          <w:b/>
          <w:color w:val="000000"/>
          <w:sz w:val="24"/>
          <w:szCs w:val="24"/>
        </w:rPr>
      </w:pPr>
      <w:r>
        <w:rPr>
          <w:rFonts w:ascii="黑体" w:eastAsia="黑体" w:hAnsi="黑体" w:cs="Tahoma" w:hint="eastAsia"/>
          <w:b/>
          <w:color w:val="000000"/>
          <w:sz w:val="24"/>
          <w:szCs w:val="24"/>
        </w:rPr>
        <w:t>二</w:t>
      </w:r>
      <w:r w:rsidR="00765483">
        <w:rPr>
          <w:rFonts w:ascii="黑体" w:eastAsia="黑体" w:hAnsi="黑体" w:cs="Tahoma" w:hint="eastAsia"/>
          <w:b/>
          <w:color w:val="000000"/>
          <w:sz w:val="24"/>
          <w:szCs w:val="24"/>
        </w:rPr>
        <w:t>、活动内容</w:t>
      </w:r>
      <w:r w:rsidR="00765483" w:rsidRPr="006A6ECB">
        <w:rPr>
          <w:rFonts w:ascii="黑体" w:eastAsia="黑体" w:hAnsi="黑体" w:cs="Tahoma" w:hint="eastAsia"/>
          <w:b/>
          <w:color w:val="000000"/>
          <w:sz w:val="24"/>
          <w:szCs w:val="24"/>
        </w:rPr>
        <w:t>：</w:t>
      </w:r>
    </w:p>
    <w:p w:rsidR="00B30D26" w:rsidRDefault="002464E1" w:rsidP="00B2755D">
      <w:pPr>
        <w:pStyle w:val="a6"/>
        <w:numPr>
          <w:ilvl w:val="0"/>
          <w:numId w:val="4"/>
        </w:numPr>
        <w:spacing w:line="360" w:lineRule="auto"/>
        <w:ind w:firstLineChars="0"/>
        <w:rPr>
          <w:rFonts w:ascii="黑体" w:eastAsia="黑体" w:hAnsi="黑体" w:cs="Tahoma"/>
          <w:color w:val="000000"/>
          <w:sz w:val="24"/>
          <w:szCs w:val="24"/>
        </w:rPr>
      </w:pPr>
      <w:r>
        <w:rPr>
          <w:rFonts w:ascii="黑体" w:eastAsia="黑体" w:hAnsi="黑体" w:cs="Tahoma" w:hint="eastAsia"/>
          <w:color w:val="000000"/>
          <w:sz w:val="24"/>
          <w:szCs w:val="24"/>
        </w:rPr>
        <w:t>活动</w:t>
      </w:r>
      <w:r w:rsidR="00B30D26">
        <w:rPr>
          <w:rFonts w:ascii="黑体" w:eastAsia="黑体" w:hAnsi="黑体" w:cs="Tahoma" w:hint="eastAsia"/>
          <w:color w:val="000000"/>
          <w:sz w:val="24"/>
          <w:szCs w:val="24"/>
        </w:rPr>
        <w:t>时间</w:t>
      </w:r>
      <w:r w:rsidR="00B2755D">
        <w:rPr>
          <w:rFonts w:ascii="黑体" w:eastAsia="黑体" w:hAnsi="黑体" w:cs="Tahoma" w:hint="eastAsia"/>
          <w:color w:val="000000"/>
          <w:sz w:val="24"/>
          <w:szCs w:val="24"/>
        </w:rPr>
        <w:t>：</w:t>
      </w:r>
      <w:r w:rsidR="00B30D26">
        <w:rPr>
          <w:rFonts w:ascii="黑体" w:eastAsia="黑体" w:hAnsi="黑体" w:cs="Tahoma" w:hint="eastAsia"/>
          <w:color w:val="000000"/>
          <w:sz w:val="24"/>
          <w:szCs w:val="24"/>
        </w:rPr>
        <w:t>2015年</w:t>
      </w:r>
      <w:r w:rsidR="00853351">
        <w:rPr>
          <w:rFonts w:ascii="黑体" w:eastAsia="黑体" w:hAnsi="黑体" w:cs="Tahoma" w:hint="eastAsia"/>
          <w:color w:val="000000"/>
          <w:sz w:val="24"/>
          <w:szCs w:val="24"/>
        </w:rPr>
        <w:t>7</w:t>
      </w:r>
      <w:r w:rsidR="00B30D26">
        <w:rPr>
          <w:rFonts w:ascii="黑体" w:eastAsia="黑体" w:hAnsi="黑体" w:cs="Tahoma" w:hint="eastAsia"/>
          <w:color w:val="000000"/>
          <w:sz w:val="24"/>
          <w:szCs w:val="24"/>
        </w:rPr>
        <w:t>月</w:t>
      </w:r>
      <w:r w:rsidR="00B2755D">
        <w:rPr>
          <w:rFonts w:ascii="黑体" w:eastAsia="黑体" w:hAnsi="黑体" w:cs="Tahoma" w:hint="eastAsia"/>
          <w:color w:val="000000"/>
          <w:sz w:val="24"/>
          <w:szCs w:val="24"/>
        </w:rPr>
        <w:t>；</w:t>
      </w:r>
    </w:p>
    <w:p w:rsidR="002464E1" w:rsidRDefault="00853351" w:rsidP="00B2755D">
      <w:pPr>
        <w:pStyle w:val="a6"/>
        <w:numPr>
          <w:ilvl w:val="0"/>
          <w:numId w:val="4"/>
        </w:numPr>
        <w:spacing w:line="360" w:lineRule="auto"/>
        <w:ind w:firstLineChars="0"/>
        <w:rPr>
          <w:rFonts w:ascii="黑体" w:eastAsia="黑体" w:hAnsi="黑体" w:cs="Tahoma"/>
          <w:color w:val="000000"/>
          <w:sz w:val="24"/>
          <w:szCs w:val="24"/>
        </w:rPr>
      </w:pPr>
      <w:r>
        <w:rPr>
          <w:rFonts w:ascii="黑体" w:eastAsia="黑体" w:hAnsi="黑体" w:cs="Tahoma" w:hint="eastAsia"/>
          <w:color w:val="000000"/>
          <w:sz w:val="24"/>
          <w:szCs w:val="24"/>
        </w:rPr>
        <w:t>培养周期：</w:t>
      </w:r>
      <w:r>
        <w:rPr>
          <w:rFonts w:ascii="黑体" w:eastAsia="黑体" w:hAnsi="黑体" w:cs="Tahoma" w:hint="eastAsia"/>
          <w:color w:val="000000"/>
          <w:sz w:val="24"/>
          <w:szCs w:val="24"/>
        </w:rPr>
        <w:t>两周。</w:t>
      </w:r>
    </w:p>
    <w:p w:rsidR="00B2755D" w:rsidRDefault="00B2755D" w:rsidP="00B2755D">
      <w:pPr>
        <w:pStyle w:val="a6"/>
        <w:numPr>
          <w:ilvl w:val="0"/>
          <w:numId w:val="4"/>
        </w:numPr>
        <w:spacing w:line="360" w:lineRule="auto"/>
        <w:ind w:firstLineChars="0"/>
        <w:rPr>
          <w:rFonts w:ascii="黑体" w:eastAsia="黑体" w:hAnsi="黑体" w:cs="Tahoma"/>
          <w:color w:val="000000"/>
          <w:sz w:val="24"/>
          <w:szCs w:val="24"/>
        </w:rPr>
      </w:pPr>
      <w:r>
        <w:rPr>
          <w:rFonts w:ascii="黑体" w:eastAsia="黑体" w:hAnsi="黑体" w:cs="Tahoma" w:hint="eastAsia"/>
          <w:color w:val="000000"/>
          <w:sz w:val="24"/>
          <w:szCs w:val="24"/>
        </w:rPr>
        <w:t>选拔人</w:t>
      </w:r>
      <w:r w:rsidR="00664F50">
        <w:rPr>
          <w:rFonts w:ascii="黑体" w:eastAsia="黑体" w:hAnsi="黑体" w:cs="Tahoma" w:hint="eastAsia"/>
          <w:color w:val="000000"/>
          <w:sz w:val="24"/>
          <w:szCs w:val="24"/>
        </w:rPr>
        <w:t>数</w:t>
      </w:r>
      <w:r>
        <w:rPr>
          <w:rFonts w:ascii="黑体" w:eastAsia="黑体" w:hAnsi="黑体" w:cs="Tahoma" w:hint="eastAsia"/>
          <w:color w:val="000000"/>
          <w:sz w:val="24"/>
          <w:szCs w:val="24"/>
        </w:rPr>
        <w:t>：</w:t>
      </w:r>
      <w:r w:rsidR="00C34FC6">
        <w:rPr>
          <w:rFonts w:ascii="黑体" w:eastAsia="黑体" w:hAnsi="黑体" w:cs="Tahoma" w:hint="eastAsia"/>
          <w:color w:val="000000"/>
          <w:sz w:val="24"/>
          <w:szCs w:val="24"/>
        </w:rPr>
        <w:t>每期100人，40名研究生，60名本科生</w:t>
      </w:r>
      <w:r>
        <w:rPr>
          <w:rFonts w:ascii="黑体" w:eastAsia="黑体" w:hAnsi="黑体" w:cs="Tahoma" w:hint="eastAsia"/>
          <w:color w:val="000000"/>
          <w:sz w:val="24"/>
          <w:szCs w:val="24"/>
        </w:rPr>
        <w:t>；</w:t>
      </w:r>
    </w:p>
    <w:p w:rsidR="00EB7D56" w:rsidRPr="00EB7D56" w:rsidRDefault="009E1CB0" w:rsidP="00EB7D56">
      <w:pPr>
        <w:spacing w:line="360" w:lineRule="auto"/>
        <w:rPr>
          <w:rFonts w:ascii="黑体" w:eastAsia="黑体" w:hAnsi="黑体" w:cs="Tahoma"/>
          <w:b/>
          <w:color w:val="000000"/>
          <w:sz w:val="24"/>
          <w:szCs w:val="24"/>
        </w:rPr>
      </w:pPr>
      <w:r>
        <w:rPr>
          <w:rFonts w:ascii="黑体" w:eastAsia="黑体" w:hAnsi="黑体" w:cs="Tahoma" w:hint="eastAsia"/>
          <w:b/>
          <w:color w:val="000000"/>
          <w:sz w:val="24"/>
          <w:szCs w:val="24"/>
        </w:rPr>
        <w:t>三、</w:t>
      </w:r>
      <w:r w:rsidR="00EB7D56" w:rsidRPr="00BC5345">
        <w:rPr>
          <w:rFonts w:ascii="黑体" w:eastAsia="黑体" w:hAnsi="黑体" w:cs="Tahoma" w:hint="eastAsia"/>
          <w:b/>
          <w:color w:val="000000"/>
          <w:sz w:val="24"/>
          <w:szCs w:val="24"/>
        </w:rPr>
        <w:t>授课内容</w:t>
      </w:r>
    </w:p>
    <w:tbl>
      <w:tblPr>
        <w:tblStyle w:val="a7"/>
        <w:tblW w:w="9215" w:type="dxa"/>
        <w:tblInd w:w="-318" w:type="dxa"/>
        <w:tblLook w:val="04A0" w:firstRow="1" w:lastRow="0" w:firstColumn="1" w:lastColumn="0" w:noHBand="0" w:noVBand="1"/>
      </w:tblPr>
      <w:tblGrid>
        <w:gridCol w:w="1352"/>
        <w:gridCol w:w="1559"/>
        <w:gridCol w:w="3327"/>
        <w:gridCol w:w="2977"/>
      </w:tblGrid>
      <w:tr w:rsidR="00503ACF" w:rsidRPr="00503ACF" w:rsidTr="00503ACF">
        <w:tc>
          <w:tcPr>
            <w:tcW w:w="1352" w:type="dxa"/>
          </w:tcPr>
          <w:p w:rsidR="00503ACF" w:rsidRPr="00503ACF" w:rsidRDefault="00503ACF" w:rsidP="00503ACF">
            <w:pPr>
              <w:spacing w:line="360" w:lineRule="auto"/>
              <w:jc w:val="center"/>
              <w:rPr>
                <w:rFonts w:ascii="黑体" w:eastAsia="黑体" w:hAnsi="黑体" w:cs="Tahoma"/>
                <w:b/>
                <w:color w:val="000000"/>
                <w:sz w:val="18"/>
                <w:szCs w:val="18"/>
              </w:rPr>
            </w:pPr>
            <w:r w:rsidRPr="00503ACF">
              <w:rPr>
                <w:rFonts w:ascii="黑体" w:eastAsia="黑体" w:hAnsi="黑体" w:cs="Tahoma" w:hint="eastAsia"/>
                <w:b/>
                <w:color w:val="000000"/>
                <w:sz w:val="18"/>
                <w:szCs w:val="18"/>
              </w:rPr>
              <w:t>课程类型</w:t>
            </w:r>
          </w:p>
        </w:tc>
        <w:tc>
          <w:tcPr>
            <w:tcW w:w="1559" w:type="dxa"/>
          </w:tcPr>
          <w:p w:rsidR="00503ACF" w:rsidRPr="00503ACF" w:rsidRDefault="00503ACF" w:rsidP="00503ACF">
            <w:pPr>
              <w:spacing w:line="360" w:lineRule="auto"/>
              <w:jc w:val="center"/>
              <w:rPr>
                <w:rFonts w:ascii="黑体" w:eastAsia="黑体" w:hAnsi="黑体" w:cs="Tahoma"/>
                <w:b/>
                <w:color w:val="000000"/>
                <w:sz w:val="18"/>
                <w:szCs w:val="18"/>
              </w:rPr>
            </w:pPr>
            <w:r w:rsidRPr="00503ACF">
              <w:rPr>
                <w:rFonts w:ascii="黑体" w:eastAsia="黑体" w:hAnsi="黑体" w:cs="Tahoma"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3327" w:type="dxa"/>
          </w:tcPr>
          <w:p w:rsidR="00503ACF" w:rsidRPr="00503ACF" w:rsidRDefault="00853351" w:rsidP="00503ACF">
            <w:pPr>
              <w:spacing w:line="360" w:lineRule="auto"/>
              <w:jc w:val="center"/>
              <w:rPr>
                <w:rFonts w:ascii="黑体" w:eastAsia="黑体" w:hAnsi="黑体" w:cs="Tahoma"/>
                <w:b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Tahoma" w:hint="eastAsia"/>
                <w:b/>
                <w:color w:val="000000"/>
                <w:sz w:val="18"/>
                <w:szCs w:val="18"/>
              </w:rPr>
              <w:t>课程内容</w:t>
            </w:r>
          </w:p>
        </w:tc>
        <w:tc>
          <w:tcPr>
            <w:tcW w:w="2977" w:type="dxa"/>
          </w:tcPr>
          <w:p w:rsidR="00503ACF" w:rsidRPr="00503ACF" w:rsidRDefault="00853351" w:rsidP="00503ACF">
            <w:pPr>
              <w:spacing w:line="360" w:lineRule="auto"/>
              <w:jc w:val="center"/>
              <w:rPr>
                <w:rFonts w:ascii="黑体" w:eastAsia="黑体" w:hAnsi="黑体" w:cs="Tahoma" w:hint="eastAsia"/>
                <w:b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Tahoma"/>
                <w:b/>
                <w:color w:val="000000"/>
                <w:sz w:val="18"/>
                <w:szCs w:val="18"/>
              </w:rPr>
              <w:t>学习目标</w:t>
            </w:r>
          </w:p>
        </w:tc>
      </w:tr>
      <w:tr w:rsidR="00361906" w:rsidRPr="001E1071" w:rsidTr="00361906">
        <w:trPr>
          <w:trHeight w:val="330"/>
        </w:trPr>
        <w:tc>
          <w:tcPr>
            <w:tcW w:w="1352" w:type="dxa"/>
            <w:vMerge w:val="restart"/>
            <w:vAlign w:val="center"/>
            <w:hideMark/>
          </w:tcPr>
          <w:p w:rsidR="00361906" w:rsidRPr="007303A9" w:rsidRDefault="00361906" w:rsidP="003619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</w:p>
          <w:p w:rsidR="00361906" w:rsidRPr="007303A9" w:rsidRDefault="00361906" w:rsidP="00361906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7303A9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职业素养</w:t>
            </w:r>
          </w:p>
        </w:tc>
        <w:tc>
          <w:tcPr>
            <w:tcW w:w="1559" w:type="dxa"/>
            <w:vAlign w:val="center"/>
            <w:hideMark/>
          </w:tcPr>
          <w:p w:rsidR="00361906" w:rsidRPr="00503ACF" w:rsidRDefault="00361906" w:rsidP="00503ACF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中国互联网金融人才培养</w:t>
            </w:r>
          </w:p>
        </w:tc>
        <w:tc>
          <w:tcPr>
            <w:tcW w:w="3327" w:type="dxa"/>
            <w:vAlign w:val="center"/>
            <w:hideMark/>
          </w:tcPr>
          <w:p w:rsidR="00361906" w:rsidRPr="00503ACF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1、互联网金融发展现状和趋势；            2、互联网金融行业机会；               3、互联网金融人才培养。</w:t>
            </w:r>
          </w:p>
        </w:tc>
        <w:tc>
          <w:tcPr>
            <w:tcW w:w="2977" w:type="dxa"/>
            <w:vAlign w:val="center"/>
            <w:hideMark/>
          </w:tcPr>
          <w:p w:rsidR="00361906" w:rsidRPr="00503ACF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增强行业使命感、荣誉感。</w:t>
            </w:r>
          </w:p>
        </w:tc>
      </w:tr>
      <w:tr w:rsidR="00361906" w:rsidRPr="001E1071" w:rsidTr="00361906">
        <w:trPr>
          <w:trHeight w:val="1413"/>
        </w:trPr>
        <w:tc>
          <w:tcPr>
            <w:tcW w:w="1352" w:type="dxa"/>
            <w:vMerge/>
            <w:vAlign w:val="center"/>
            <w:hideMark/>
          </w:tcPr>
          <w:p w:rsidR="00361906" w:rsidRPr="007303A9" w:rsidRDefault="00361906" w:rsidP="00361906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  <w:hideMark/>
          </w:tcPr>
          <w:p w:rsidR="00361906" w:rsidRPr="00503ACF" w:rsidRDefault="00361906" w:rsidP="00503ACF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3327" w:type="dxa"/>
            <w:vAlign w:val="center"/>
            <w:hideMark/>
          </w:tcPr>
          <w:p w:rsidR="00853351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 xml:space="preserve">1、职业规划意义与必要性；             2、职业生涯规划的方法；             3、就业行业、公司、岗位；          </w:t>
            </w:r>
          </w:p>
          <w:p w:rsidR="00361906" w:rsidRPr="00503ACF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4、如何实现人职匹配等。</w:t>
            </w:r>
          </w:p>
        </w:tc>
        <w:tc>
          <w:tcPr>
            <w:tcW w:w="2977" w:type="dxa"/>
            <w:vAlign w:val="center"/>
            <w:hideMark/>
          </w:tcPr>
          <w:p w:rsidR="00361906" w:rsidRPr="00503ACF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1、对自身职业生涯规划有所思考；       2、学会从自身性格特点出发，在实际工作中发挥自身优势；                         3、学会制定可预见的职业生涯规划。</w:t>
            </w:r>
          </w:p>
        </w:tc>
      </w:tr>
      <w:tr w:rsidR="00361906" w:rsidRPr="001E1071" w:rsidTr="00361906">
        <w:trPr>
          <w:trHeight w:val="1251"/>
        </w:trPr>
        <w:tc>
          <w:tcPr>
            <w:tcW w:w="1352" w:type="dxa"/>
            <w:vMerge/>
            <w:vAlign w:val="center"/>
            <w:hideMark/>
          </w:tcPr>
          <w:p w:rsidR="00361906" w:rsidRPr="007303A9" w:rsidRDefault="00361906" w:rsidP="003619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  <w:hideMark/>
          </w:tcPr>
          <w:p w:rsidR="00361906" w:rsidRPr="00503ACF" w:rsidRDefault="00361906" w:rsidP="00503ACF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职业形象管理与商务礼仪</w:t>
            </w:r>
          </w:p>
        </w:tc>
        <w:tc>
          <w:tcPr>
            <w:tcW w:w="3327" w:type="dxa"/>
            <w:vAlign w:val="center"/>
            <w:hideMark/>
          </w:tcPr>
          <w:p w:rsidR="00853351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 xml:space="preserve">1、专业的个人职业形象规划，以适应不同商务场合的礼仪要求；             2、不同环境中商务接待规范、专业、到位的技巧；                       </w:t>
            </w:r>
          </w:p>
          <w:p w:rsidR="00361906" w:rsidRPr="00503ACF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3、不同的宴请场合如何协调主宾的关系、达到最佳的效果。</w:t>
            </w:r>
          </w:p>
        </w:tc>
        <w:tc>
          <w:tcPr>
            <w:tcW w:w="2977" w:type="dxa"/>
            <w:vAlign w:val="center"/>
            <w:hideMark/>
          </w:tcPr>
          <w:p w:rsidR="00361906" w:rsidRPr="00503ACF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1、提升职业形象和仪态，增加职场魅力；2、塑造学员对内部员工和客户的无形影响力。</w:t>
            </w:r>
          </w:p>
          <w:p w:rsidR="00361906" w:rsidRPr="00503ACF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361906" w:rsidRPr="001E1071" w:rsidTr="00361906">
        <w:trPr>
          <w:trHeight w:val="1890"/>
        </w:trPr>
        <w:tc>
          <w:tcPr>
            <w:tcW w:w="1352" w:type="dxa"/>
            <w:vMerge w:val="restart"/>
            <w:vAlign w:val="center"/>
            <w:hideMark/>
          </w:tcPr>
          <w:p w:rsidR="00361906" w:rsidRPr="007303A9" w:rsidRDefault="00361906" w:rsidP="003619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7303A9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专业核心课</w:t>
            </w:r>
          </w:p>
          <w:p w:rsidR="00361906" w:rsidRPr="007303A9" w:rsidRDefault="00361906" w:rsidP="00361906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</w:p>
          <w:p w:rsidR="00361906" w:rsidRPr="007303A9" w:rsidRDefault="00361906" w:rsidP="00361906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  <w:hideMark/>
          </w:tcPr>
          <w:p w:rsidR="00361906" w:rsidRPr="00503ACF" w:rsidRDefault="00361906" w:rsidP="00503ACF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互联网金融导论</w:t>
            </w:r>
          </w:p>
        </w:tc>
        <w:tc>
          <w:tcPr>
            <w:tcW w:w="3327" w:type="dxa"/>
            <w:vAlign w:val="center"/>
            <w:hideMark/>
          </w:tcPr>
          <w:p w:rsidR="00361906" w:rsidRPr="00503ACF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1、互联网金融的六大模式；            2、互联网金融行业的机遇和挑战；     3、互联网金融的法律、政策与监管等。</w:t>
            </w:r>
          </w:p>
        </w:tc>
        <w:tc>
          <w:tcPr>
            <w:tcW w:w="2977" w:type="dxa"/>
            <w:vAlign w:val="center"/>
            <w:hideMark/>
          </w:tcPr>
          <w:p w:rsidR="00361906" w:rsidRPr="00503ACF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1、了解互联网金融六大模式和比特币的发展脉络和现状；                        2、了解各类模式的机遇和挑战；             3、加深对整个互联网金融产业的了解。</w:t>
            </w:r>
          </w:p>
        </w:tc>
      </w:tr>
      <w:tr w:rsidR="00361906" w:rsidRPr="001E1071" w:rsidTr="00361906">
        <w:trPr>
          <w:trHeight w:val="983"/>
        </w:trPr>
        <w:tc>
          <w:tcPr>
            <w:tcW w:w="1352" w:type="dxa"/>
            <w:vMerge/>
            <w:vAlign w:val="center"/>
            <w:hideMark/>
          </w:tcPr>
          <w:p w:rsidR="00361906" w:rsidRPr="007303A9" w:rsidRDefault="00361906" w:rsidP="00361906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  <w:hideMark/>
          </w:tcPr>
          <w:p w:rsidR="00361906" w:rsidRPr="00503ACF" w:rsidRDefault="00361906" w:rsidP="00503ACF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财务分析</w:t>
            </w:r>
          </w:p>
        </w:tc>
        <w:tc>
          <w:tcPr>
            <w:tcW w:w="3327" w:type="dxa"/>
            <w:vAlign w:val="center"/>
            <w:hideMark/>
          </w:tcPr>
          <w:p w:rsidR="00361906" w:rsidRPr="00503ACF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 xml:space="preserve">1、读懂财务报表（资产负债、利润、现金流量及关系）；                     2、财务报表信息质量识别（粉饰动机、类型、技术等）；                      </w:t>
            </w: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 xml:space="preserve">3、信贷决策中的财务分析；               4、管理决策中的财务分析；           5、业绩评价中的财务分析等。                   </w:t>
            </w:r>
          </w:p>
        </w:tc>
        <w:tc>
          <w:tcPr>
            <w:tcW w:w="2977" w:type="dxa"/>
            <w:vAlign w:val="center"/>
            <w:hideMark/>
          </w:tcPr>
          <w:p w:rsidR="00361906" w:rsidRPr="00503ACF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1、了解财务报表分析的基本理论；</w:t>
            </w: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br/>
              <w:t>2、学会阅读三大报表及其对于公司运作和财务的影响；</w:t>
            </w: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br/>
              <w:t>3、掌握识别报表信息质量的方法，</w:t>
            </w: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了解财务报表粉饰和舞弊的手法；</w:t>
            </w: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br/>
              <w:t>4、掌握财务报表的综合分析在实践中的运用。</w:t>
            </w:r>
          </w:p>
        </w:tc>
      </w:tr>
      <w:tr w:rsidR="00361906" w:rsidRPr="001E1071" w:rsidTr="00361906">
        <w:trPr>
          <w:trHeight w:val="720"/>
        </w:trPr>
        <w:tc>
          <w:tcPr>
            <w:tcW w:w="1352" w:type="dxa"/>
            <w:vMerge/>
            <w:vAlign w:val="center"/>
            <w:hideMark/>
          </w:tcPr>
          <w:p w:rsidR="00361906" w:rsidRPr="007303A9" w:rsidRDefault="00361906" w:rsidP="00361906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  <w:hideMark/>
          </w:tcPr>
          <w:p w:rsidR="00361906" w:rsidRPr="00503ACF" w:rsidRDefault="00361906" w:rsidP="007303A9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理财规划原理</w:t>
            </w:r>
          </w:p>
        </w:tc>
        <w:tc>
          <w:tcPr>
            <w:tcW w:w="3327" w:type="dxa"/>
            <w:vAlign w:val="center"/>
            <w:hideMark/>
          </w:tcPr>
          <w:p w:rsidR="00361906" w:rsidRPr="00503ACF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1、理财规划概述；                  2、理财八大规划；                   3、理财工具简介；                      4、理财规划流程；                       5、理财职业发展与道德等。</w:t>
            </w:r>
          </w:p>
        </w:tc>
        <w:tc>
          <w:tcPr>
            <w:tcW w:w="2977" w:type="dxa"/>
            <w:vAlign w:val="center"/>
            <w:hideMark/>
          </w:tcPr>
          <w:p w:rsidR="00361906" w:rsidRPr="00503ACF" w:rsidRDefault="00361906" w:rsidP="00361906">
            <w:pPr>
              <w:widowControl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503ACF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 xml:space="preserve">1、正确理解理财概念；                   2、了解人生八大规划的意义。              </w:t>
            </w:r>
          </w:p>
        </w:tc>
      </w:tr>
      <w:tr w:rsidR="00361906" w:rsidRPr="001E1071" w:rsidTr="00361906">
        <w:trPr>
          <w:trHeight w:val="540"/>
        </w:trPr>
        <w:tc>
          <w:tcPr>
            <w:tcW w:w="1352" w:type="dxa"/>
            <w:vMerge/>
            <w:vAlign w:val="center"/>
            <w:hideMark/>
          </w:tcPr>
          <w:p w:rsidR="00361906" w:rsidRPr="007303A9" w:rsidRDefault="00361906" w:rsidP="00361906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  <w:hideMark/>
          </w:tcPr>
          <w:p w:rsidR="00361906" w:rsidRPr="00361906" w:rsidRDefault="00361906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类金融机构解剖</w:t>
            </w:r>
          </w:p>
        </w:tc>
        <w:tc>
          <w:tcPr>
            <w:tcW w:w="332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小贷、担保、融资租赁、典当、保理、票据等机构的运营模式及机理。</w:t>
            </w:r>
          </w:p>
        </w:tc>
        <w:tc>
          <w:tcPr>
            <w:tcW w:w="297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了解类金融机构、熟悉相关业务。</w:t>
            </w:r>
          </w:p>
        </w:tc>
      </w:tr>
      <w:tr w:rsidR="00361906" w:rsidRPr="001E1071" w:rsidTr="00361906">
        <w:trPr>
          <w:trHeight w:val="578"/>
        </w:trPr>
        <w:tc>
          <w:tcPr>
            <w:tcW w:w="1352" w:type="dxa"/>
            <w:vMerge w:val="restart"/>
            <w:vAlign w:val="center"/>
            <w:hideMark/>
          </w:tcPr>
          <w:p w:rsidR="00361906" w:rsidRPr="007303A9" w:rsidRDefault="00361906" w:rsidP="00361906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  <w:r w:rsidRPr="007303A9">
              <w:rPr>
                <w:rFonts w:ascii="黑体" w:eastAsia="黑体" w:hAnsi="黑体" w:cs="宋体" w:hint="eastAsia"/>
                <w:bCs/>
                <w:color w:val="000000"/>
                <w:kern w:val="0"/>
                <w:sz w:val="18"/>
                <w:szCs w:val="18"/>
              </w:rPr>
              <w:t>业务核心课</w:t>
            </w:r>
          </w:p>
        </w:tc>
        <w:tc>
          <w:tcPr>
            <w:tcW w:w="1559" w:type="dxa"/>
            <w:vAlign w:val="center"/>
            <w:hideMark/>
          </w:tcPr>
          <w:p w:rsidR="00361906" w:rsidRPr="00361906" w:rsidRDefault="00361906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P2P网贷模式的分析与设计</w:t>
            </w:r>
          </w:p>
        </w:tc>
        <w:tc>
          <w:tcPr>
            <w:tcW w:w="332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1、P2P网贷模式分类与解析；         2、P2P网贷模式的应用；             3、P2P网贷模式的设计与实现等。</w:t>
            </w:r>
          </w:p>
        </w:tc>
        <w:tc>
          <w:tcPr>
            <w:tcW w:w="297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1、解P2P网贷领域的各类商业模式；      2、分析各类模式的优缺点，并设计新的模式并应用于实践中；                   3、提高学员的分析和实践能力。</w:t>
            </w:r>
          </w:p>
        </w:tc>
      </w:tr>
      <w:tr w:rsidR="00361906" w:rsidRPr="001E1071" w:rsidTr="00503ACF">
        <w:trPr>
          <w:trHeight w:val="578"/>
        </w:trPr>
        <w:tc>
          <w:tcPr>
            <w:tcW w:w="1352" w:type="dxa"/>
            <w:vMerge/>
            <w:hideMark/>
          </w:tcPr>
          <w:p w:rsidR="00361906" w:rsidRPr="007303A9" w:rsidRDefault="00361906" w:rsidP="002D64EB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  <w:hideMark/>
          </w:tcPr>
          <w:p w:rsidR="00361906" w:rsidRPr="00361906" w:rsidRDefault="00361906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P2P网贷市场</w:t>
            </w:r>
          </w:p>
        </w:tc>
        <w:tc>
          <w:tcPr>
            <w:tcW w:w="332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1、国外P2P网贷行业发展现状与趋势；                               2、国内P2P网贷行业发展情况、趋势与问题；                            3、P2P网贷市场分析工具与方法等。</w:t>
            </w:r>
          </w:p>
        </w:tc>
        <w:tc>
          <w:tcPr>
            <w:tcW w:w="297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1、了解目前国内和国际的P2P网贷市场现状和问题；                          2、掌握网贷市场发展的一般规律和趋势；3、提高学员对网贷市场的分析和判断能力；                                4、为进行决策提供分析工具和方法。</w:t>
            </w:r>
          </w:p>
        </w:tc>
      </w:tr>
      <w:tr w:rsidR="00361906" w:rsidRPr="001E1071" w:rsidTr="00503ACF">
        <w:trPr>
          <w:trHeight w:val="578"/>
        </w:trPr>
        <w:tc>
          <w:tcPr>
            <w:tcW w:w="1352" w:type="dxa"/>
            <w:vMerge/>
            <w:hideMark/>
          </w:tcPr>
          <w:p w:rsidR="00361906" w:rsidRPr="007303A9" w:rsidRDefault="00361906" w:rsidP="002D64EB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  <w:hideMark/>
          </w:tcPr>
          <w:p w:rsidR="00361906" w:rsidRPr="00361906" w:rsidRDefault="00361906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P2P网贷运营</w:t>
            </w:r>
          </w:p>
        </w:tc>
        <w:tc>
          <w:tcPr>
            <w:tcW w:w="332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1、网贷平台的运营规则和方法；      2、网贷平台的运营模式与业务流程；   3、平台运营的数据监控与分析等。</w:t>
            </w:r>
          </w:p>
        </w:tc>
        <w:tc>
          <w:tcPr>
            <w:tcW w:w="297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1、了解P2P网贷平台的运营规则和方法； 2、熟练从事网贷平台的运营和推广方面的工作。</w:t>
            </w:r>
          </w:p>
        </w:tc>
      </w:tr>
      <w:tr w:rsidR="00361906" w:rsidRPr="001E1071" w:rsidTr="00503ACF">
        <w:trPr>
          <w:trHeight w:val="578"/>
        </w:trPr>
        <w:tc>
          <w:tcPr>
            <w:tcW w:w="1352" w:type="dxa"/>
            <w:vMerge/>
            <w:hideMark/>
          </w:tcPr>
          <w:p w:rsidR="00361906" w:rsidRPr="007303A9" w:rsidRDefault="00361906" w:rsidP="002D64EB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  <w:hideMark/>
          </w:tcPr>
          <w:p w:rsidR="00361906" w:rsidRPr="00361906" w:rsidRDefault="00361906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P2P网贷风控</w:t>
            </w:r>
          </w:p>
        </w:tc>
        <w:tc>
          <w:tcPr>
            <w:tcW w:w="332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1、P2P网贷平台的风险分析；          2、风险定价的工具和方法；           3、线上和线下风控的技术等。</w:t>
            </w:r>
          </w:p>
        </w:tc>
        <w:tc>
          <w:tcPr>
            <w:tcW w:w="297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1、了解P2P网贷平台的风险特征；        2、掌握风险控制的基本原则和方法；     3、利用所学的知识和工具进行实务操作。</w:t>
            </w:r>
          </w:p>
        </w:tc>
      </w:tr>
      <w:tr w:rsidR="00361906" w:rsidRPr="001E1071" w:rsidTr="00503ACF">
        <w:trPr>
          <w:trHeight w:val="578"/>
        </w:trPr>
        <w:tc>
          <w:tcPr>
            <w:tcW w:w="1352" w:type="dxa"/>
            <w:vMerge/>
            <w:hideMark/>
          </w:tcPr>
          <w:p w:rsidR="00361906" w:rsidRPr="007303A9" w:rsidRDefault="00361906" w:rsidP="002D64EB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  <w:hideMark/>
          </w:tcPr>
          <w:p w:rsidR="00361906" w:rsidRPr="00361906" w:rsidRDefault="00361906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第三方支付</w:t>
            </w:r>
          </w:p>
        </w:tc>
        <w:tc>
          <w:tcPr>
            <w:tcW w:w="332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1、第三方支付行业的发展现状、趋势和问题；                            2、第三方支付模式分类与设计；       3、第三方支付典型案例分析等。</w:t>
            </w:r>
          </w:p>
        </w:tc>
        <w:tc>
          <w:tcPr>
            <w:tcW w:w="297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1、了解第三方支付行业发展的现状、趋势和问题；                             2、熟悉第三方支付领域的公司和产品等。</w:t>
            </w:r>
          </w:p>
        </w:tc>
      </w:tr>
      <w:tr w:rsidR="00361906" w:rsidRPr="001E1071" w:rsidTr="00503ACF">
        <w:trPr>
          <w:trHeight w:val="578"/>
        </w:trPr>
        <w:tc>
          <w:tcPr>
            <w:tcW w:w="1352" w:type="dxa"/>
            <w:vMerge/>
            <w:hideMark/>
          </w:tcPr>
          <w:p w:rsidR="00361906" w:rsidRPr="007303A9" w:rsidRDefault="00361906" w:rsidP="002D64EB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  <w:hideMark/>
          </w:tcPr>
          <w:p w:rsidR="00361906" w:rsidRPr="00361906" w:rsidRDefault="00361906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众筹</w:t>
            </w:r>
          </w:p>
        </w:tc>
        <w:tc>
          <w:tcPr>
            <w:tcW w:w="332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1、众筹行业的发展现状、趋势和问题； 2、众筹模式分类与设计；                3、众筹典型案例分析等。</w:t>
            </w:r>
          </w:p>
        </w:tc>
        <w:tc>
          <w:tcPr>
            <w:tcW w:w="297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1、了解众筹行业的发展现状、趋势和问题；                                 2、熟悉众筹行业的发展历程、典型代表企业和产品等。</w:t>
            </w:r>
          </w:p>
        </w:tc>
      </w:tr>
      <w:tr w:rsidR="00361906" w:rsidRPr="001E1071" w:rsidTr="00503ACF">
        <w:trPr>
          <w:trHeight w:val="578"/>
        </w:trPr>
        <w:tc>
          <w:tcPr>
            <w:tcW w:w="1352" w:type="dxa"/>
            <w:vMerge/>
            <w:hideMark/>
          </w:tcPr>
          <w:p w:rsidR="00361906" w:rsidRPr="007303A9" w:rsidRDefault="00361906" w:rsidP="002D64EB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  <w:hideMark/>
          </w:tcPr>
          <w:p w:rsidR="00361906" w:rsidRPr="00361906" w:rsidRDefault="00361906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信息化金融机构与大数据金融</w:t>
            </w:r>
          </w:p>
        </w:tc>
        <w:tc>
          <w:tcPr>
            <w:tcW w:w="332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1、信息化金融机构的分类与典型案例；2、大数据和云计算在互联网金融领域的应用；                               3、互联网理财产品分析等。</w:t>
            </w:r>
          </w:p>
        </w:tc>
        <w:tc>
          <w:tcPr>
            <w:tcW w:w="2977" w:type="dxa"/>
            <w:vAlign w:val="center"/>
            <w:hideMark/>
          </w:tcPr>
          <w:p w:rsidR="00361906" w:rsidRPr="00361906" w:rsidRDefault="00361906" w:rsidP="00361906">
            <w:pPr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61906"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>1、掌握大数据和云计算在互联网金融领域的应用方法；                         2、了解目前信息化金融机构的发展情况和典型代表；                              3、深入了解互联网金融理财产品。</w:t>
            </w:r>
          </w:p>
        </w:tc>
      </w:tr>
    </w:tbl>
    <w:p w:rsidR="007A20E9" w:rsidRDefault="007A20E9"/>
    <w:sectPr w:rsidR="007A20E9" w:rsidSect="00A27C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0EE" w:rsidRDefault="002B10EE" w:rsidP="00F14F8E">
      <w:r>
        <w:separator/>
      </w:r>
    </w:p>
  </w:endnote>
  <w:endnote w:type="continuationSeparator" w:id="0">
    <w:p w:rsidR="002B10EE" w:rsidRDefault="002B10EE" w:rsidP="00F1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0EE" w:rsidRDefault="002B10EE" w:rsidP="00F14F8E">
      <w:r>
        <w:separator/>
      </w:r>
    </w:p>
  </w:footnote>
  <w:footnote w:type="continuationSeparator" w:id="0">
    <w:p w:rsidR="002B10EE" w:rsidRDefault="002B10EE" w:rsidP="00F14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C0717"/>
    <w:multiLevelType w:val="hybridMultilevel"/>
    <w:tmpl w:val="D25A4F3E"/>
    <w:lvl w:ilvl="0" w:tplc="9D229530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67283F"/>
    <w:multiLevelType w:val="hybridMultilevel"/>
    <w:tmpl w:val="89F614FC"/>
    <w:lvl w:ilvl="0" w:tplc="40380830">
      <w:start w:val="1"/>
      <w:numFmt w:val="decimal"/>
      <w:lvlText w:val="%1、"/>
      <w:lvlJc w:val="left"/>
      <w:pPr>
        <w:ind w:left="900" w:hanging="420"/>
      </w:pPr>
      <w:rPr>
        <w:rFonts w:asciiTheme="majorEastAsia" w:eastAsiaTheme="majorEastAsia" w:hAnsiTheme="majorEastAsia" w:cstheme="minorBidi"/>
      </w:rPr>
    </w:lvl>
    <w:lvl w:ilvl="1" w:tplc="79D095EC">
      <w:start w:val="1"/>
      <w:numFmt w:val="japaneseCounting"/>
      <w:lvlText w:val="%2、"/>
      <w:lvlJc w:val="left"/>
      <w:pPr>
        <w:ind w:left="1620" w:hanging="720"/>
      </w:pPr>
      <w:rPr>
        <w:rFonts w:cstheme="minorBidi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0A7C56BB"/>
    <w:multiLevelType w:val="hybridMultilevel"/>
    <w:tmpl w:val="832CAEF2"/>
    <w:lvl w:ilvl="0" w:tplc="84BED602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903FDE"/>
    <w:multiLevelType w:val="hybridMultilevel"/>
    <w:tmpl w:val="951270F0"/>
    <w:lvl w:ilvl="0" w:tplc="7BB4419E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6C572EF"/>
    <w:multiLevelType w:val="hybridMultilevel"/>
    <w:tmpl w:val="383E1A1C"/>
    <w:lvl w:ilvl="0" w:tplc="AEFEEC1A">
      <w:start w:val="5"/>
      <w:numFmt w:val="japaneseCounting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4D7D42"/>
    <w:multiLevelType w:val="hybridMultilevel"/>
    <w:tmpl w:val="04F69DD6"/>
    <w:lvl w:ilvl="0" w:tplc="B630BF9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82D24586">
      <w:start w:val="6"/>
      <w:numFmt w:val="japaneseCounting"/>
      <w:lvlText w:val="%2、"/>
      <w:lvlJc w:val="left"/>
      <w:pPr>
        <w:ind w:left="76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4C023CE6"/>
    <w:multiLevelType w:val="hybridMultilevel"/>
    <w:tmpl w:val="81504A3A"/>
    <w:lvl w:ilvl="0" w:tplc="0F64CC9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1CA09200">
      <w:start w:val="4"/>
      <w:numFmt w:val="japaneseCounting"/>
      <w:lvlText w:val="%2、"/>
      <w:lvlJc w:val="left"/>
      <w:pPr>
        <w:ind w:left="16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4E7B1954"/>
    <w:multiLevelType w:val="hybridMultilevel"/>
    <w:tmpl w:val="275437E0"/>
    <w:lvl w:ilvl="0" w:tplc="F7FE5932">
      <w:start w:val="7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28475A4">
      <w:start w:val="1"/>
      <w:numFmt w:val="decimal"/>
      <w:lvlText w:val="%2、"/>
      <w:lvlJc w:val="left"/>
      <w:pPr>
        <w:ind w:left="810" w:hanging="39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7812810"/>
    <w:multiLevelType w:val="hybridMultilevel"/>
    <w:tmpl w:val="4ABA3DDE"/>
    <w:lvl w:ilvl="0" w:tplc="3992E19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64696327"/>
    <w:multiLevelType w:val="hybridMultilevel"/>
    <w:tmpl w:val="9C5C21CC"/>
    <w:lvl w:ilvl="0" w:tplc="1DB2867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7033272A"/>
    <w:multiLevelType w:val="hybridMultilevel"/>
    <w:tmpl w:val="0E260358"/>
    <w:lvl w:ilvl="0" w:tplc="88FC9F2C">
      <w:start w:val="1"/>
      <w:numFmt w:val="japaneseCounting"/>
      <w:lvlText w:val="%1、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4F8E"/>
    <w:rsid w:val="00003993"/>
    <w:rsid w:val="00011CCB"/>
    <w:rsid w:val="0001745D"/>
    <w:rsid w:val="00043EC9"/>
    <w:rsid w:val="000D6E61"/>
    <w:rsid w:val="000D7598"/>
    <w:rsid w:val="000E7CF6"/>
    <w:rsid w:val="001220A5"/>
    <w:rsid w:val="001257F7"/>
    <w:rsid w:val="0012669D"/>
    <w:rsid w:val="00173A40"/>
    <w:rsid w:val="00176D06"/>
    <w:rsid w:val="001918F9"/>
    <w:rsid w:val="001D195D"/>
    <w:rsid w:val="001E1071"/>
    <w:rsid w:val="001F012F"/>
    <w:rsid w:val="002464E1"/>
    <w:rsid w:val="00286A7E"/>
    <w:rsid w:val="002B10EE"/>
    <w:rsid w:val="002B3799"/>
    <w:rsid w:val="002C2CAA"/>
    <w:rsid w:val="002D589F"/>
    <w:rsid w:val="003502BC"/>
    <w:rsid w:val="00361906"/>
    <w:rsid w:val="003C382E"/>
    <w:rsid w:val="003D295D"/>
    <w:rsid w:val="003D7C12"/>
    <w:rsid w:val="004419D3"/>
    <w:rsid w:val="0044766D"/>
    <w:rsid w:val="00463E6B"/>
    <w:rsid w:val="0047570D"/>
    <w:rsid w:val="00485161"/>
    <w:rsid w:val="00503ACF"/>
    <w:rsid w:val="005258B8"/>
    <w:rsid w:val="00551DFD"/>
    <w:rsid w:val="00555DA0"/>
    <w:rsid w:val="00566A93"/>
    <w:rsid w:val="00593CAA"/>
    <w:rsid w:val="00643921"/>
    <w:rsid w:val="00650BA3"/>
    <w:rsid w:val="00664F50"/>
    <w:rsid w:val="006A6ECB"/>
    <w:rsid w:val="006D2050"/>
    <w:rsid w:val="007021C4"/>
    <w:rsid w:val="00730348"/>
    <w:rsid w:val="007303A9"/>
    <w:rsid w:val="007413F9"/>
    <w:rsid w:val="00762A2B"/>
    <w:rsid w:val="00765483"/>
    <w:rsid w:val="00766924"/>
    <w:rsid w:val="00794F65"/>
    <w:rsid w:val="007A20E9"/>
    <w:rsid w:val="007D0732"/>
    <w:rsid w:val="007D3A83"/>
    <w:rsid w:val="007F2327"/>
    <w:rsid w:val="00823315"/>
    <w:rsid w:val="00853351"/>
    <w:rsid w:val="00870FA5"/>
    <w:rsid w:val="0087155C"/>
    <w:rsid w:val="008866EC"/>
    <w:rsid w:val="008B2788"/>
    <w:rsid w:val="008D26B4"/>
    <w:rsid w:val="008E3801"/>
    <w:rsid w:val="008E38EC"/>
    <w:rsid w:val="00925172"/>
    <w:rsid w:val="009A7A9C"/>
    <w:rsid w:val="009E1CB0"/>
    <w:rsid w:val="009F1403"/>
    <w:rsid w:val="00A27C63"/>
    <w:rsid w:val="00A336AA"/>
    <w:rsid w:val="00AE49F3"/>
    <w:rsid w:val="00B170E5"/>
    <w:rsid w:val="00B2755D"/>
    <w:rsid w:val="00B30D26"/>
    <w:rsid w:val="00B336C1"/>
    <w:rsid w:val="00BA7A24"/>
    <w:rsid w:val="00BC5345"/>
    <w:rsid w:val="00BE0086"/>
    <w:rsid w:val="00C33825"/>
    <w:rsid w:val="00C34FC6"/>
    <w:rsid w:val="00CA6B1C"/>
    <w:rsid w:val="00CC0D72"/>
    <w:rsid w:val="00CC3202"/>
    <w:rsid w:val="00CD7C32"/>
    <w:rsid w:val="00D17708"/>
    <w:rsid w:val="00D24792"/>
    <w:rsid w:val="00D416D4"/>
    <w:rsid w:val="00D61829"/>
    <w:rsid w:val="00D815B6"/>
    <w:rsid w:val="00DA0310"/>
    <w:rsid w:val="00DA080C"/>
    <w:rsid w:val="00DC636C"/>
    <w:rsid w:val="00DC6A5B"/>
    <w:rsid w:val="00E10D85"/>
    <w:rsid w:val="00E8687D"/>
    <w:rsid w:val="00EB7D56"/>
    <w:rsid w:val="00EC646F"/>
    <w:rsid w:val="00EC7379"/>
    <w:rsid w:val="00ED15B6"/>
    <w:rsid w:val="00ED7329"/>
    <w:rsid w:val="00F026A9"/>
    <w:rsid w:val="00F14F8E"/>
    <w:rsid w:val="00F35516"/>
    <w:rsid w:val="00F57E0A"/>
    <w:rsid w:val="00F61E96"/>
    <w:rsid w:val="00F8375D"/>
    <w:rsid w:val="00F8537F"/>
    <w:rsid w:val="00F92D8E"/>
    <w:rsid w:val="00FD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C43508-32C1-45B0-BA04-1620D8589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C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4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4F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4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4F8E"/>
    <w:rPr>
      <w:sz w:val="18"/>
      <w:szCs w:val="18"/>
    </w:rPr>
  </w:style>
  <w:style w:type="character" w:styleId="a5">
    <w:name w:val="Strong"/>
    <w:basedOn w:val="a0"/>
    <w:qFormat/>
    <w:rsid w:val="00F14F8E"/>
    <w:rPr>
      <w:b/>
      <w:bCs/>
    </w:rPr>
  </w:style>
  <w:style w:type="paragraph" w:customStyle="1" w:styleId="1">
    <w:name w:val="列出段落1"/>
    <w:basedOn w:val="a"/>
    <w:qFormat/>
    <w:rsid w:val="00043EC9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0D6E61"/>
    <w:pPr>
      <w:ind w:firstLineChars="200" w:firstLine="420"/>
    </w:pPr>
  </w:style>
  <w:style w:type="table" w:styleId="a7">
    <w:name w:val="Table Grid"/>
    <w:basedOn w:val="a1"/>
    <w:uiPriority w:val="59"/>
    <w:rsid w:val="00730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ZYPENG_XJTU</cp:lastModifiedBy>
  <cp:revision>16</cp:revision>
  <dcterms:created xsi:type="dcterms:W3CDTF">2015-03-18T09:04:00Z</dcterms:created>
  <dcterms:modified xsi:type="dcterms:W3CDTF">2015-04-03T07:38:00Z</dcterms:modified>
</cp:coreProperties>
</file>